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17,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Bicycle Therapeutics plc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7" w:right="339" w:bottom="1440" w:gutter="0" w:footer="0" w:header="0"/>
        </w:sectPr>
      </w:pPr>
    </w:p>
    <w:p>
      <w:pPr>
        <w:spacing w:after="0" w:line="201"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001-38916</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7" w:right="339" w:bottom="1440" w:gutter="0" w:footer="0" w:header="0"/>
          <w:type w:val="continuous"/>
        </w:sectPr>
      </w:pPr>
    </w:p>
    <w:p>
      <w:pPr>
        <w:spacing w:after="0" w:line="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Blocks A &amp; B, Portway Building,</w:t>
      </w:r>
    </w:p>
    <w:p>
      <w:pPr>
        <w:spacing w:after="0" w:line="3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Granta Park Great Abington, Cambridge</w:t>
      </w:r>
    </w:p>
    <w:p>
      <w:pPr>
        <w:spacing w:after="0" w:line="9"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+44 1223 261503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CB21 6GS</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(Zip Code)</w:t>
      </w:r>
    </w:p>
    <w:p>
      <w:pPr>
        <w:spacing w:after="0" w:line="598" w:lineRule="exact"/>
        <w:rPr>
          <w:sz w:val="24"/>
          <w:szCs w:val="24"/>
          <w:color w:val="auto"/>
        </w:rPr>
      </w:pPr>
    </w:p>
    <w:p>
      <w:pPr>
        <w:sectPr>
          <w:pgSz w:w="11900" w:h="16838" w:orient="portrait"/>
          <w:cols w:equalWidth="0" w:num="2">
            <w:col w:w="7300" w:space="720"/>
            <w:col w:w="3220"/>
          </w:cols>
          <w:pgMar w:left="320" w:top="747" w:right="339" w:bottom="1440" w:gutter="0" w:footer="0" w:header="0"/>
          <w:type w:val="continuous"/>
        </w:sectPr>
      </w:pPr>
    </w:p>
    <w:p>
      <w:pPr>
        <w:spacing w:after="0" w:line="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520" w:type="dxa"/>
            <w:vAlign w:val="bottom"/>
            <w:tcBorders>
              <w:top w:val="single" w:sz="8" w:color="auto"/>
              <w:left w:val="single" w:sz="8" w:color="auto"/>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Trading Symbol (s)</w:t>
            </w:r>
          </w:p>
        </w:tc>
        <w:tc>
          <w:tcPr>
            <w:tcW w:w="448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4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157"/>
        </w:trPr>
        <w:tc>
          <w:tcPr>
            <w:tcW w:w="4520" w:type="dxa"/>
            <w:vAlign w:val="bottom"/>
            <w:tcBorders>
              <w:left w:val="single" w:sz="8" w:color="auto"/>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tcPr>
          <w:p>
            <w:pPr>
              <w:spacing w:after="0"/>
              <w:rPr>
                <w:sz w:val="13"/>
                <w:szCs w:val="13"/>
                <w:color w:val="auto"/>
              </w:rPr>
            </w:pPr>
          </w:p>
        </w:tc>
        <w:tc>
          <w:tcPr>
            <w:tcW w:w="4480" w:type="dxa"/>
            <w:vAlign w:val="bottom"/>
            <w:tcBorders>
              <w:bottom w:val="single" w:sz="8" w:color="auto"/>
              <w:right w:val="single" w:sz="8" w:color="auto"/>
            </w:tcBorders>
          </w:tcPr>
          <w:p>
            <w:pPr>
              <w:spacing w:after="0"/>
              <w:rPr>
                <w:sz w:val="13"/>
                <w:szCs w:val="13"/>
                <w:color w:val="auto"/>
              </w:rPr>
            </w:pPr>
          </w:p>
        </w:tc>
      </w:tr>
      <w:tr>
        <w:trPr>
          <w:trHeight w:val="191"/>
        </w:trPr>
        <w:tc>
          <w:tcPr>
            <w:tcW w:w="45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 one</w:t>
            </w:r>
          </w:p>
        </w:tc>
        <w:tc>
          <w:tcPr>
            <w:tcW w:w="22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BCYC</w:t>
            </w:r>
          </w:p>
        </w:tc>
        <w:tc>
          <w:tcPr>
            <w:tcW w:w="4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ordinary share, nominal value £0.01 per share</w:t>
            </w:r>
          </w:p>
        </w:tc>
        <w:tc>
          <w:tcPr>
            <w:tcW w:w="224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175"/>
        </w:trPr>
        <w:tc>
          <w:tcPr>
            <w:tcW w:w="4520" w:type="dxa"/>
            <w:vAlign w:val="bottom"/>
            <w:tcBorders>
              <w:left w:val="single" w:sz="8" w:color="auto"/>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4480" w:type="dxa"/>
            <w:vAlign w:val="bottom"/>
            <w:tcBorders>
              <w:bottom w:val="single" w:sz="8" w:color="auto"/>
              <w:right w:val="single" w:sz="8" w:color="auto"/>
            </w:tcBorders>
          </w:tcPr>
          <w:p>
            <w:pPr>
              <w:spacing w:after="0"/>
              <w:rPr>
                <w:sz w:val="15"/>
                <w:szCs w:val="15"/>
                <w:color w:val="auto"/>
              </w:rPr>
            </w:pPr>
          </w:p>
        </w:tc>
      </w:tr>
    </w:tbl>
    <w:p>
      <w:pPr>
        <w:spacing w:after="0" w:line="198" w:lineRule="exact"/>
        <w:rPr>
          <w:sz w:val="24"/>
          <w:szCs w:val="24"/>
          <w:color w:val="auto"/>
        </w:rPr>
      </w:pPr>
    </w:p>
    <w:p>
      <w:pPr>
        <w:ind w:left="460" w:hanging="128"/>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Bicycle Therapeutics plc (the “Company”) held its annual general meeting of shareholders (the “AGM”) on June 17, 2026. Each of the proposals set forth below were voted on and duly passed on a poll at the AGM. Detailed descriptions of these proposals and of the voting procedures applied at the AGM are contained in the Company’s definitive proxy statement on Schedule 14A filed with the Securities and Exchange Commission on April 22, 2026.</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There were 49,696,908 ordinary shares of the Company represented in person or by proxy at the AGM, constituting approximately 98.64% of the issued and outstanding ordinary shares on June 17, 2026. Proxy appointments which gave the Chairman of the meeting discretion have been included in the “For” total. In accordance with the terms of the deposit agreement by and among the Company, Citibank, N.A., as depositary, and holders and beneficial owners of American Depositary Shares (“ADSs”) dated May 28, 2019, holders of ADSs who did not provide the depositary bank with voting instructions on or before the specified deadline were deemed to have instructed the depositary to give a discretionary proxy to a person designated by the Company to vote the underlying ordinary shares at the AGM and the voting results below reflect that designation. A vote withheld/abstain is not a vote in law and is not counted in the calculation of votes for or against a resolution.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Ordinary Resolutions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w w:val="95"/>
              </w:rPr>
              <w:t>Proposal 1</w:t>
            </w:r>
          </w:p>
        </w:tc>
        <w:tc>
          <w:tcPr>
            <w:tcW w:w="3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To re-elect as a director Felix Baker</w:t>
            </w:r>
          </w:p>
        </w:tc>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460" w:type="dxa"/>
            <w:vAlign w:val="bottom"/>
          </w:tcPr>
          <w:p>
            <w:pPr>
              <w:spacing w:after="0"/>
              <w:rPr>
                <w:sz w:val="24"/>
                <w:szCs w:val="24"/>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6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Vote Withheld/Abstain</w:t>
            </w:r>
          </w:p>
        </w:tc>
      </w:tr>
      <w:tr>
        <w:trPr>
          <w:trHeight w:val="209"/>
        </w:trPr>
        <w:tc>
          <w:tcPr>
            <w:tcW w:w="1460" w:type="dxa"/>
            <w:vAlign w:val="bottom"/>
            <w:tcBorders>
              <w:top w:val="single" w:sz="8" w:color="auto"/>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98"/>
              </w:rPr>
              <w:t>46,171,302</w:t>
            </w: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3,364,113</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161,493</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14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w w:val="95"/>
              </w:rPr>
              <w:t>Proposal 2</w:t>
            </w:r>
          </w:p>
        </w:tc>
        <w:tc>
          <w:tcPr>
            <w:tcW w:w="3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To re-elect as a director Hervé Hoppenot</w:t>
            </w:r>
          </w:p>
        </w:tc>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460" w:type="dxa"/>
            <w:vAlign w:val="bottom"/>
          </w:tcPr>
          <w:p>
            <w:pPr>
              <w:spacing w:after="0"/>
              <w:rPr>
                <w:sz w:val="24"/>
                <w:szCs w:val="24"/>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6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Vote Withheld/Abstain</w:t>
            </w:r>
          </w:p>
        </w:tc>
      </w:tr>
      <w:tr>
        <w:trPr>
          <w:trHeight w:val="209"/>
        </w:trPr>
        <w:tc>
          <w:tcPr>
            <w:tcW w:w="1460" w:type="dxa"/>
            <w:vAlign w:val="bottom"/>
            <w:tcBorders>
              <w:top w:val="single" w:sz="8" w:color="auto"/>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98"/>
              </w:rPr>
              <w:t>49,284,459</w:t>
            </w: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250,669</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161,780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right="8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Proposal 3 – To approve, on an advisory basis, the compensation of the Company’s named executive officers, as disclosed in the Company’s definitive proxy statement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Vote Withheld/Abstain</w:t>
            </w:r>
          </w:p>
        </w:tc>
      </w:tr>
      <w:tr>
        <w:trPr>
          <w:trHeight w:val="209"/>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48,748,743</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785,032</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163,133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Proposal 4 – To ratify the appointment of PricewaterhouseCoopers LLP, a limited liability partnership organized under the laws of England, as the Company’s independent registered public accounting firm for the year ending December 31, 2026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Vote Withheld/Abstain</w:t>
            </w:r>
          </w:p>
        </w:tc>
      </w:tr>
      <w:tr>
        <w:trPr>
          <w:trHeight w:val="209"/>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49,445,128</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232,627</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19,153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Proposal 5 – To re-appoint PricewaterhouseCoopers LLP, a limited liability partnership organized under the laws of England, as the Company’s U.K. statutory auditors, to hold office until the conclusion of the next annual general meeting of shareholders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Vote Withheld/Abstain</w:t>
            </w:r>
          </w:p>
        </w:tc>
      </w:tr>
      <w:tr>
        <w:trPr>
          <w:trHeight w:val="209"/>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49,441,337</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235,008</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20,563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right="7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Proposal 6 – To authorize the Audit Committee of the Company’s Board of Directors to determine the Company’s U.K. statutory auditors’ remuneration for the year ending December 31, 2026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Vote Withheld/Abstain</w:t>
            </w:r>
          </w:p>
        </w:tc>
      </w:tr>
      <w:tr>
        <w:trPr>
          <w:trHeight w:val="210"/>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49,493,240</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47,269</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156,399</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b w:val="1"/>
          <w:bCs w:val="1"/>
          <w:color w:val="auto"/>
        </w:rPr>
        <w:t>Proposal 7 – To receive and adopt the Company’s U.K. statutory annual accounts and reports for the year ended December 31,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Vote Withheld/Abstain</w:t>
            </w:r>
          </w:p>
        </w:tc>
      </w:tr>
      <w:tr>
        <w:trPr>
          <w:trHeight w:val="209"/>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49,138,590</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553,781</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righ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Proposal 8 – To approve the directors’ remuneration report for the year ended December 31, 2025, which report is set forth in the Company’s definitive proxy statement (excluding the directors’ remuneration policy)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Vote Withheld/Abstain</w:t>
            </w:r>
          </w:p>
        </w:tc>
      </w:tr>
      <w:tr>
        <w:trPr>
          <w:trHeight w:val="210"/>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48,741,517</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792,394</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162,997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Proposal 9 – To approve the directors’ remuneration policy, which policy is set forth in the Company’s definitive proxy statement, and which will take effect immediately after the end of the AGM</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Vote Withheld/Abstain</w:t>
            </w:r>
          </w:p>
        </w:tc>
      </w:tr>
      <w:tr>
        <w:trPr>
          <w:trHeight w:val="209"/>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48,238,031</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1,293,722</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165,155</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18, 2026</w:t>
      </w:r>
      <w:r>
        <w:rPr>
          <w:sz w:val="20"/>
          <w:szCs w:val="20"/>
          <w:color w:val="auto"/>
        </w:rPr>
        <w:tab/>
      </w:r>
      <w:r>
        <w:rPr>
          <w:rFonts w:ascii="Times New Roman" w:cs="Times New Roman" w:eastAsia="Times New Roman" w:hAnsi="Times New Roman"/>
          <w:sz w:val="17"/>
          <w:szCs w:val="17"/>
          <w:b w:val="1"/>
          <w:bCs w:val="1"/>
          <w:color w:val="auto"/>
        </w:rPr>
        <w:t>BICYCLE THERAPEUTICS PLC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Travis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Travis Thompson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2026-06-18T07:24:08Z</dcterms:created>
  <dcterms:modified xsi:type="dcterms:W3CDTF">2026-06-18T07:24:08Z</dcterms:modified>
</cp:coreProperties>
</file>