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17,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March 17, 2026, Bicycle Therapeutics plc (the “Company”) issued a press release announcing financial results for the fiscal quarter and the year ended December 31, 2025 and other business highlights. A copy of the press release is being furnished as Exhibit 99.1 to this Current Report on Form 8-K and is incorporated herein by reference.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 of Certain Officers</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March 11, 2026, the Company’s Board of Directors appointed Jennifer Perry, Pharm.D. as Chief Operating Officer, effective as of March 17, 2026 (the “Transition Date”). Dr. Perry will succeed Alistair Milnes, who will serve as the Company’s Chief Corporate Development Officer, effective as of the Transition Date.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Prior to her appointment as Chief Operating Officer, Dr. Perry, age 52, served as the Company’s Chief Strategy Officer and Head of Commercial, a role she held since July 2024. Dr. Perry previously served as the Company’s Senior Vice President, Commercial, from April 2023 to July 2024, and as the Company’s Vice President, Global Scientific Engagement and Medical Affairs from August 2022 to April 2023. Dr. Perry has over 20 years of experience in the biotech and pharmaceutical industries, with 15 years in oncology. Prior to joining the Company, from August 2020 to August 2022, Dr. Perry served as Vice President, Hematology Oncology Sales at TG Therapeutics, Inc. and previously served as Vice President, US Oncology Sales at GSK/Tesaro from July 2019 to August 2020. Dr. Perry attended Loyola University Chicago for her undergraduate education before earning her Pharm.D. from the University of Illinois Chicago.</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Chief Operating Officer, Dr. Perry’s will receive a base salary of $550,000 and will be eligible to receive a target annual cash performance bonus of 50% of her base salary. Dr. Perry will continue to be eligible to participate in the Company’s or its subsidiaries’ health, welfare, and retirement plans on the same basis as all of the other employees. During her employment, Dr. Perry will be subject to the Company’s standard Proprietary Information, Inventions and Non-Solicitation Agreement.</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Dr. Perry will be eligible to receive severance benefits upon certain employment termination scenarios if she signs a separation agreement containing a general release of claims in favor of the Company and its subsidiaries and other standard terms. If Dr. Perry’s employment is terminated without cause, or by Dr. Perry for good reason, she will receive nine months of her base salary in effect at the time of her employment termination and up to nine months of COBRA insurance continuation. In the event her employment is terminated without cause, or by Dr. Perry for good reason, within 12 months following a change in control of the Company, she will receive 18 months of her base salary in effect at the time of her employment termination, up to 18 months of COBRA insurance continuation, a lump sum equal to her full annual bonus at the target percentage for the year in which her employment is terminated (in addition to any unpaid bonus earned in the prior year but still unpaid), and full acceleration of vesting for any unvested equity awards.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Dr. Perry also entered into the Company’s standard form of indemnity agreement, which requires the Company to indemnify Dr. Perry to the fullest extent permitted by the law of England and Wales, for certain liabilities to which she may become subject as a result of her affiliation with the Company.</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Dr. Perry and any of the Company’s directors or executive officers, nor are there any related party transactions between Dr. Perry and the Company that would be required to be reported under Item 404(a) of Regulation S-K.</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terms is not complete and is qualified in part by reference to the full text of Dr. Perry’s employment agreement, which will be filed with the Company’s Quarterly Report on Form 10-Q for the period ending March 31, 2026.</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80" w:type="dxa"/>
            <w:vAlign w:val="bottom"/>
          </w:tcPr>
          <w:p>
            <w:pPr>
              <w:spacing w:after="0"/>
              <w:rPr>
                <w:sz w:val="20"/>
                <w:szCs w:val="20"/>
                <w:color w:val="auto"/>
              </w:rPr>
            </w:pPr>
          </w:p>
        </w:tc>
        <w:tc>
          <w:tcPr>
            <w:tcW w:w="664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March 17, 2026</w:t>
            </w:r>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Travis Thompson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Reports Recent Business Progress and Fourth Quarter and Full Year 2025 Financial Results</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Phase 2/3 Duravelo-2 pivotal trial evaluating zelenectide pevedotin (zelenectide) plus pembrolizumab in metastatic urothelial cancer (mUC) successfully</w:t>
      </w:r>
    </w:p>
    <w:p>
      <w:pPr>
        <w:ind w:left="200"/>
        <w:spacing w:after="0" w:line="206" w:lineRule="auto"/>
        <w:rPr>
          <w:sz w:val="20"/>
          <w:szCs w:val="20"/>
          <w:color w:val="auto"/>
        </w:rPr>
      </w:pPr>
      <w:r>
        <w:rPr>
          <w:rFonts w:ascii="Times New Roman" w:cs="Times New Roman" w:eastAsia="Times New Roman" w:hAnsi="Times New Roman"/>
          <w:sz w:val="18"/>
          <w:szCs w:val="18"/>
          <w:i w:val="1"/>
          <w:iCs w:val="1"/>
          <w:color w:val="auto"/>
        </w:rPr>
        <w:t>identifies 6mg/m</w:t>
      </w:r>
      <w:r>
        <w:rPr>
          <w:rFonts w:ascii="Times New Roman" w:cs="Times New Roman" w:eastAsia="Times New Roman" w:hAnsi="Times New Roman"/>
          <w:sz w:val="29"/>
          <w:szCs w:val="29"/>
          <w:i w:val="1"/>
          <w:iCs w:val="1"/>
          <w:color w:val="auto"/>
          <w:vertAlign w:val="superscript"/>
        </w:rPr>
        <w:t>2</w:t>
      </w:r>
      <w:r>
        <w:rPr>
          <w:rFonts w:ascii="Times New Roman" w:cs="Times New Roman" w:eastAsia="Times New Roman" w:hAnsi="Times New Roman"/>
          <w:sz w:val="18"/>
          <w:szCs w:val="18"/>
          <w:i w:val="1"/>
          <w:iCs w:val="1"/>
          <w:color w:val="auto"/>
        </w:rPr>
        <w:t xml:space="preserve"> zelenectide two weeks on, one week off dose (6mg dose) as optimal, demonstrating response rates comparable to published rates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standards of care with a differentiated tolerability profile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Bicycle to convert Duravelo-2 to a randomized Phase 2 trial while determining appropriate next steps for the program</w:t>
      </w:r>
    </w:p>
    <w:p>
      <w:pPr>
        <w:spacing w:after="0" w:line="229"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Strategic reprioritization to focus on BT5528 and next generation Bicycle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conjugates, including Bicycle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Radioconjugates (BRC</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additional EphA2 human imaging data and Phase 1 BT5528 combination data planned for the first half of 2026</w:t>
      </w:r>
    </w:p>
    <w:p>
      <w:pPr>
        <w:spacing w:after="0" w:line="19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Strategic partnerships established to enable an end-to-end isotope agnostic strategy to support the potential discovery, development and commercial supply of a portfolio of BRCs</w:t>
      </w:r>
    </w:p>
    <w:p>
      <w:pPr>
        <w:spacing w:after="0" w:line="158" w:lineRule="exact"/>
        <w:rPr>
          <w:sz w:val="20"/>
          <w:szCs w:val="20"/>
          <w:color w:val="auto"/>
        </w:rPr>
      </w:pPr>
    </w:p>
    <w:p>
      <w:pPr>
        <w:jc w:val="cente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 of $628 million as of December 31, 2025, with expected cash runway extended into 2030 following a strategic reprioritization, including a proposed workforce reduction of approximately 30%</w:t>
      </w:r>
    </w:p>
    <w:p>
      <w:pPr>
        <w:spacing w:after="0" w:line="16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CAMBRIDGE, England &amp; BOSTON, March 17, 2026 – Bicycle Therapeutics plc (NASDAQ: BCYC), a pharmaceutical company pioneering a new and differentiated class of therapeutics based on its proprietary bicyclic peptide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today reported financial results for the fourth quarter and full year ended December 31, 2025, and provided recent corporate updates.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successfully completed the dose selection portion of the Duravelo-2 trial and received regulatory alignment that the 6mg dose and schedule is optimal for zelenectide in mUC based on strong anti-tumor activity and its differentiated safety profile. We look forward to sharing these data at an upcoming scientific conference. Based on the regulatory feedback we have received, the existing Duravelo-2 trial design is no longer considered acceptable as an approval path for zelenectide in mUC. Preliminary discussions with regulatory agencies have outlined several potential paths for zelenectide’s approval in mUC. While we believe the strength of these data and the clear medical need justify continued development of zelenectide, we have reached the difficult decision to deprioritize this program for internal development at this time. We have initiated a process to convert our ongoing Duravelo-2 trial to a randomized Phase 2 study. Once we have these randomized Phase 2 data in hand, we will determine the most appropriate path for zelenectide,” said Bicycle Therapeutics CEO Kevin Lee, Ph.D. “We believe these data provide further validation of the ability of our Bicycle technology to deliver oncology therapeutics with a potentially improved benefit/risk profile compared to existing modalities. In view of this, we have decided to conduct a strategic reprioritization, which includes a proposed workforce reduction, to best position the company to focus our resources on our promising pipeline of next-generation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2025 and Recent Events</w:t>
      </w:r>
    </w:p>
    <w:p>
      <w:pPr>
        <w:spacing w:after="0" w:line="225" w:lineRule="exact"/>
        <w:rPr>
          <w:sz w:val="20"/>
          <w:szCs w:val="20"/>
          <w:color w:val="auto"/>
        </w:rPr>
      </w:pPr>
    </w:p>
    <w:p>
      <w:pPr>
        <w:jc w:val="both"/>
        <w:ind w:left="380" w:hanging="318"/>
        <w:spacing w:after="0" w:line="254"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Promising Duravelo-2 data and multiple potential regulatory pathways provide a range of options for a Phase 3 trial and potential commercialization of zelenectide in mUC. </w:t>
      </w:r>
      <w:r>
        <w:rPr>
          <w:rFonts w:ascii="Times New Roman" w:cs="Times New Roman" w:eastAsia="Times New Roman" w:hAnsi="Times New Roman"/>
          <w:sz w:val="18"/>
          <w:szCs w:val="18"/>
          <w:color w:val="auto"/>
        </w:rPr>
        <w:t>Initial dose selection data from the Duravelo-2 trial demonstrate response rates comparable to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published for existing standards of care, with physician assessed overall response rate (ORR) of 65%, blinded independent central review (BICR) confirmed ORR of 58% at the 27-week cutoff and a differentiated safety profile. Subsequent to the 27-week cutoff, an additional confirmed BICR response was observed, which would result in an ORR of 62%. The 6mg dose demonstrated a differentiated safety profile with only one patient discontinuing therapy due to a treatment-related adverse event (TRAE) at the 27-week cutoff. Bicycle Therapeutics expects to present initial dose selection data from the Duravelo-2 trial at an upcoming scientific conference. While Bicycle Therapeutics evaluates preliminary regulatory feedback from the European Medicines Agency, U.S. Food and Drug Administration (FDA), and Medicines and Healthcare products Regulatory Agency, and the potential paths for this program, the company plans to convert the ongoing Duravelo-2 trial to a randomized Phase 2 trial and deprioritize this program for internal development at this time. Once available, data from the randomized Phase 2 trial will be shared with the scientific and medical community.</w:t>
      </w:r>
    </w:p>
    <w:p>
      <w:pPr>
        <w:spacing w:after="0" w:line="182" w:lineRule="exact"/>
        <w:rPr>
          <w:rFonts w:ascii="Times New Roman" w:cs="Times New Roman" w:eastAsia="Times New Roman" w:hAnsi="Times New Roman"/>
          <w:sz w:val="18"/>
          <w:szCs w:val="18"/>
          <w:color w:val="auto"/>
        </w:rPr>
      </w:pPr>
    </w:p>
    <w:p>
      <w:pPr>
        <w:jc w:val="both"/>
        <w:ind w:left="380" w:hanging="318"/>
        <w:spacing w:after="0" w:line="24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reprioritization focuses on promising pipeline of next-generation therapeutics. </w:t>
      </w:r>
      <w:r>
        <w:rPr>
          <w:rFonts w:ascii="Times New Roman" w:cs="Times New Roman" w:eastAsia="Times New Roman" w:hAnsi="Times New Roman"/>
          <w:sz w:val="18"/>
          <w:szCs w:val="18"/>
          <w:color w:val="auto"/>
        </w:rPr>
        <w:t>Bicycle Therapeutics has initiated a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reprioritization in order to focus its resources on its promising pipeline of next-generation therapeutics, including BT5528, a potentially first-in-class EphA2 targeting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Drug Conjugate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 well as its emerging bicycle conjugate pipeline, including BRCs. As part of the reprioritization, Bicycle Therapeutics will seek to discontinue the Phase 1/2 Duravelo-3 trial for zelenectide in NECTIN4-amplified breast cancer and the Phase 1/2 Duravelo-4 trial for zelenectide in NECTIN4-amplified non-small cell lung cancer. Further enrollment for these trials will be closed, and patients already enrolled will complete their course of treatment. In addition, Bicycle Therapeutics is proposing to implement a workforce reduction pursuant to which it would reduce its workforce by approximately 30%. Anticipated annual operational savings related to the workforce reduction and strategic reprioritization are expected to reduce annual operating expenses by approximately 50% based on the company’s current plans. These actions are expected to extend Bicycle Therapeutics’ cash runway by approximately two years, into 2030.</w:t>
      </w:r>
    </w:p>
    <w:p>
      <w:pPr>
        <w:spacing w:after="0" w:line="194" w:lineRule="exact"/>
        <w:rPr>
          <w:rFonts w:ascii="Times New Roman" w:cs="Times New Roman" w:eastAsia="Times New Roman" w:hAnsi="Times New Roman"/>
          <w:sz w:val="18"/>
          <w:szCs w:val="18"/>
          <w:color w:val="auto"/>
        </w:rPr>
      </w:pPr>
    </w:p>
    <w:p>
      <w:pPr>
        <w:jc w:val="both"/>
        <w:ind w:left="380" w:hanging="318"/>
        <w:spacing w:after="0" w:line="22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Established multiple strategic partnerships to create end-to-end supply chain to support wholly owned radiopharmaceutical pipeline. </w:t>
      </w:r>
      <w:r>
        <w:rPr>
          <w:rFonts w:ascii="Times New Roman" w:cs="Times New Roman" w:eastAsia="Times New Roman" w:hAnsi="Times New Roman"/>
          <w:sz w:val="18"/>
          <w:szCs w:val="18"/>
          <w:color w:val="auto"/>
        </w:rPr>
        <w:t>Bicycle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Therapeutics entered into a 15-year contract including an option to renew with the UK Nuclear Decommissioning Authority (NDA) for access to up to 400 tonnes of reprocessed uranium (RepU). RepU continually regenerates providing a potentially sustainable supply of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 xml:space="preserve">Pb. In addition, Bicycle Therapeutics announced a collaboration with United Kingdom National Nuclear Laboratory (UKNNL), pursuant to which it plans to extract </w:t>
      </w:r>
      <w:r>
        <w:rPr>
          <w:rFonts w:ascii="Times New Roman" w:cs="Times New Roman" w:eastAsia="Times New Roman" w:hAnsi="Times New Roman"/>
          <w:sz w:val="29"/>
          <w:szCs w:val="29"/>
          <w:color w:val="auto"/>
          <w:vertAlign w:val="superscript"/>
        </w:rPr>
        <w:t>228</w:t>
      </w:r>
      <w:r>
        <w:rPr>
          <w:rFonts w:ascii="Times New Roman" w:cs="Times New Roman" w:eastAsia="Times New Roman" w:hAnsi="Times New Roman"/>
          <w:sz w:val="18"/>
          <w:szCs w:val="18"/>
          <w:color w:val="auto"/>
        </w:rPr>
        <w:t xml:space="preserve">Th from the RepU obtained from NDA. The extracted </w:t>
      </w:r>
      <w:r>
        <w:rPr>
          <w:rFonts w:ascii="Times New Roman" w:cs="Times New Roman" w:eastAsia="Times New Roman" w:hAnsi="Times New Roman"/>
          <w:sz w:val="23"/>
          <w:szCs w:val="23"/>
          <w:color w:val="auto"/>
          <w:vertAlign w:val="superscript"/>
        </w:rPr>
        <w:t>228</w:t>
      </w:r>
      <w:r>
        <w:rPr>
          <w:rFonts w:ascii="Times New Roman" w:cs="Times New Roman" w:eastAsia="Times New Roman" w:hAnsi="Times New Roman"/>
          <w:sz w:val="18"/>
          <w:szCs w:val="18"/>
          <w:color w:val="auto"/>
        </w:rPr>
        <w:t xml:space="preserve">Th will then be further processed into </w:t>
      </w:r>
      <w:r>
        <w:rPr>
          <w:rFonts w:ascii="Times New Roman" w:cs="Times New Roman" w:eastAsia="Times New Roman" w:hAnsi="Times New Roman"/>
          <w:sz w:val="23"/>
          <w:szCs w:val="23"/>
          <w:color w:val="auto"/>
          <w:vertAlign w:val="superscript"/>
        </w:rPr>
        <w:t>224</w:t>
      </w:r>
      <w:r>
        <w:rPr>
          <w:rFonts w:ascii="Times New Roman" w:cs="Times New Roman" w:eastAsia="Times New Roman" w:hAnsi="Times New Roman"/>
          <w:sz w:val="18"/>
          <w:szCs w:val="18"/>
          <w:color w:val="auto"/>
        </w:rPr>
        <w:t xml:space="preserve">Ra and loaded into bespoke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 xml:space="preserve">Pb generators being developed exclusively for Bicycle Therapeutics by SpectronRx. Collectively, this bespoke set of arrangements is designed to support the potential discovery, development, and commercial supply of a portfolio of BRCs containing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Pb. These arrangements build on a previously announced agreement with Eckert &amp; Ziegler to supply a range of radioisotopes for the manufacture and development of BRCs and Bicycle Imaging Agents (BIA), enabling an isotope agnostic strategy.</w:t>
      </w:r>
    </w:p>
    <w:p>
      <w:pPr>
        <w:spacing w:after="0" w:line="200" w:lineRule="exact"/>
        <w:rPr>
          <w:rFonts w:ascii="Times New Roman" w:cs="Times New Roman" w:eastAsia="Times New Roman" w:hAnsi="Times New Roman"/>
          <w:sz w:val="18"/>
          <w:szCs w:val="18"/>
          <w:color w:val="auto"/>
        </w:rPr>
      </w:pPr>
    </w:p>
    <w:p>
      <w:pPr>
        <w:jc w:val="both"/>
        <w:ind w:left="380" w:hanging="31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for an early BIA targeting MT1-MMP presented at European Association of Nuclear Medicine (EANM) 2025 Congress. </w:t>
      </w:r>
      <w:r>
        <w:rPr>
          <w:rFonts w:ascii="Times New Roman" w:cs="Times New Roman" w:eastAsia="Times New Roman" w:hAnsi="Times New Roman"/>
          <w:sz w:val="18"/>
          <w:szCs w:val="18"/>
          <w:color w:val="auto"/>
        </w:rPr>
        <w:t>An e-poster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outlined the first clinical experience with an early BIA targeting MT1-MMP. An additional e-poster presented by the German Cancer Consortium (DKTK), part of a cooperative network with the German Cancer Research Center (DKFZ), highlighted preclinical BRC data demonstrating the potential of this approach for radiotheranostic use. Altogether, these data build on preclinical and first human imaging data previously disclosed at the American Association for Cancer Research (AACR) Annual Meeting 2025 and EANM 2024 Congress. Bicycle Therapeutics believes these data further support the potential of MT1-MMP as a novel target in the treatment of cancer, demonstrate the translatability of BRC preclinical data and highlight the potential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molecules for targeted radionuclide therapies and radiopharmaceutical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340" w:right="20"/>
        <w:spacing w:after="0" w:line="282" w:lineRule="auto"/>
        <w:rPr>
          <w:sz w:val="20"/>
          <w:szCs w:val="20"/>
          <w:color w:val="auto"/>
        </w:rPr>
      </w:pPr>
      <w:r>
        <w:rPr>
          <w:rFonts w:ascii="Times New Roman" w:cs="Times New Roman" w:eastAsia="Times New Roman" w:hAnsi="Times New Roman"/>
          <w:sz w:val="18"/>
          <w:szCs w:val="18"/>
          <w:color w:val="auto"/>
        </w:rPr>
        <w:t>Bicycle Therapeutics continues to advance its emerging radioligand pipeline, with additional EphA2 human imaging data expected in the first half of 2026 and the initiation of the first company-sponsored radioligand clinical trial, for BT1702, an MT1-MMP targeting BRC, expected in 2027.</w:t>
      </w:r>
    </w:p>
    <w:p>
      <w:pPr>
        <w:spacing w:after="0" w:line="158" w:lineRule="exact"/>
        <w:rPr>
          <w:sz w:val="20"/>
          <w:szCs w:val="20"/>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BT5528, a potential first-in-class EphA2 targeting BDC molecule. </w:t>
      </w:r>
      <w:r>
        <w:rPr>
          <w:rFonts w:ascii="Times New Roman" w:cs="Times New Roman" w:eastAsia="Times New Roman" w:hAnsi="Times New Roman"/>
          <w:sz w:val="18"/>
          <w:szCs w:val="18"/>
          <w:color w:val="auto"/>
        </w:rPr>
        <w:t>Bicycle Therapeutics announced nuzefatide pevedotin (nuzefatide)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Nonproprietary Name for BT5528. Phase 1 nuzefatide combination data with nivolumab in mUC patients will be presented at a scientific conference in the first half of 2026.</w:t>
      </w:r>
    </w:p>
    <w:p>
      <w:pPr>
        <w:spacing w:after="0" w:line="174"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Bicycle Therapeutics began enrolling a Phase 2 clinical trial to evaluate efficacy, safety, and pharmacokinetics of nuzefatide in adult patients with recurrent pancreatic ductal adenocarcinoma (PDAC). Additional information regarding this indication will be presented at a scientific conference in the first half of 2026.</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14" w:lineRule="auto"/>
        <w:tabs>
          <w:tab w:leader="none" w:pos="34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BT7480, a Bicycle tumor-targeted immune cell agonist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(Bicycle TICA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is a Nectin-4 targeted CD137 agonist designed to overcome immune agonist toxicities and activate the immune system in Nectin-4 expressing tumors. </w:t>
      </w:r>
      <w:r>
        <w:rPr>
          <w:rFonts w:ascii="Times New Roman" w:cs="Times New Roman" w:eastAsia="Times New Roman" w:hAnsi="Times New Roman"/>
          <w:sz w:val="18"/>
          <w:szCs w:val="18"/>
          <w:color w:val="auto"/>
        </w:rPr>
        <w:t>Phase 1 BT7480 combination data with nivolumab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at a scientific conference in the first half of 2026. After reporting combination data, Bicycle Therapeutics will no longer develop BT7480 internally and intends to seek a potential partner for future development.</w:t>
      </w:r>
    </w:p>
    <w:p>
      <w:pPr>
        <w:spacing w:after="0" w:line="194" w:lineRule="exact"/>
        <w:rPr>
          <w:rFonts w:ascii="Times New Roman" w:cs="Times New Roman" w:eastAsia="Times New Roman" w:hAnsi="Times New Roman"/>
          <w:sz w:val="36"/>
          <w:szCs w:val="36"/>
          <w:color w:val="auto"/>
          <w:vertAlign w:val="superscript"/>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Evolving leadership team strengthens transition to next phase of innovation across oncology pipeline. </w:t>
      </w:r>
      <w:r>
        <w:rPr>
          <w:rFonts w:ascii="Times New Roman" w:cs="Times New Roman" w:eastAsia="Times New Roman" w:hAnsi="Times New Roman"/>
          <w:sz w:val="18"/>
          <w:szCs w:val="18"/>
          <w:color w:val="auto"/>
        </w:rPr>
        <w:t>Bicycle Therapeutics has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Jennifer Perry, Pharm.D. as chief operating officer (COO), and Alistair Milnes as chief corporate development officer (CCDO). In her role as COO, Jennifer will oversee portfolio and new product strategy, business development, commercial and medical affairs, while in his role as CCDO, Alistair will oversee government affairs, human resources and information technology. Bicycle Therapeutics also recently promoted Travis Thompson as chief financial officer, overseeing the finance, accounting and investor relations functions and Michael Method, M.D., MPH, MBA, to chief medical officer, overseeing all clinical development and the relationship with Bicycle Therapeutics’ Clinical Advisory Board. In addition, Michael Skynner, Ph.D., now serves as chief scientific officer, overseeing scientific discovery, early-stage pipeline development and the relationship with Bicycle Therapeutics’ Research and Innovation Advisory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Year End 2025 Financial Results</w:t>
      </w:r>
    </w:p>
    <w:p>
      <w:pPr>
        <w:spacing w:after="0" w:line="229"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$628.1 million as of December 31, 2025, compared to $879.5 million as of December 31, 2024. The decrease in cash and cash equivalents is primarily due to cash used in operations, including increased cash payments for clinical program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34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revenue was $48.0 million for the three months ended December 31, 2025 and $72.6 million for the year ended December 31, 2025, compared to $3.7 million for the three months ended December 31, 2024 and $35.3 million for the year ended December 31, 2024. The increases in collaboration revenue of $44.3 million and $37.3 million for the three months and year ended December 31, 2025, respectively, were primarily due to the recognition of all remaining revenue under Bicycle Therapeutics’ collaboration with Novartis Pharma AG upon a notice of termination of the collaboration agreement, as well as the recognition of revenue under Bicycle Therapeutics’ collaboration with Bayer Consumer Care AG upon a notice of termination of one of the target programs under the collaboration agreement.</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$51.8 million for the three months ended December 31, 2025, and $240.3 million for the year ended December 31, 2025, compared to $49.8 million for the three months ended December 31, 2024, and $173.0 million for the year ended December 31, 2024. The increase in expense of $2.0 million for the three months ended December 31, 2025 was primarily due to increased discovery, platform and other expenses and lower U.K. R&amp;D tax credits period over period, offset by decreased clinical program expenses for zelenectide development and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molecules. The increase in expense of $67.3 million for the year ended December 31, 2025 was primarily due to increased clinical program expenses for zelenectide development, discovery, platform and other expenses, higher personnel-related costs, including severance-related expenses of the workforce reduction completed in August 2025, and lower U.K. R&amp;D tax credits period over period, offset by decreased clinical program expenses for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molecules.</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$20.9 million for the three months ended December 31, 2025, and $79.4 million for the year ended December 31, 2025, compared to $21.6 million for the three months ended December 31, 2024, and $72.2 million for the year ended December 31, 2024. The decrease in expense of $0.7 million for the three months ended December 31, 2025 was primarily due to decreased professional and consulting fees. The increase in expense of $7.2 million for the year ended December 31, 2025 was primarily due to increased personnel-related costs including share-based payments, offset by a favorable impact of foreign exchange rates.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$20.2 million, or $(0.29) basic and diluted net loss per share, for the three months ended December 31, 2025, and net loss was $219.0 million, or $(3.16) basic and diluted net loss per share, for the year ended December 31, 2025, compared to net loss of $51.9 million, or $(0.75) basic and diluted net loss per share, for the three months ended December 31, 2024, and net loss was $169.0 million, or $(2.90) basic and diluted net loss per share,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Bicycle Therapeutics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Bicycle Therapeutics is a clinical-stage pharmaceutical company developing a novel class of medicines, referred to as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w:t>
      </w:r>
    </w:p>
    <w:p>
      <w:pPr>
        <w:spacing w:after="0" w:line="2"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candidates for drug development. The company is evaluating nuzefatide pevedotin, formerly BT5528, a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Drug Conjugate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EphA2, a historically undruggable target; a pipeline of other bicycle-based conjugate molecules, including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Radioconjugates (BRC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radiopharmaceutical use; zelenectide pevedotin (formerly BT8009), a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targeting Nectin-4, a well-validated tumor antigen; BT7480, a Bicycle Tumor-Targeted Immune Cell Agonist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Nectin-4 and agonizing CD137; and, through various partnerships, is exploring the use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 develop therapies for diseases in additional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Bicycle Therapeutics is headquartered in Cambridge, UK, with many key functions and members of its leadership team located in Lexington, Mass. For more information, visit bicycletherapeutics.com.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Bicycle Therapeutics’ efforts to identify partners to help advance its product candidates, such as BT7480; the potential benefits of Bicycle Therapeutics’ strategic reprioritization, including the potential extension of financial runway; the proposed workforce reduction and its impact on Bicycle Therapeutics’ expenditures; Bicycle Therapeutics’ expectations with respect to the benefits of its agreements and collaborations with the NDA, UKNNL and SpectronRx, respectively; Bicycle Therapeutics’ ability to leverage its agreements with NDA and SpectronRx and collaboration with</w:t>
      </w: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UKNNL to support the potential discovery, development and commercial supply of a portfolio of BRCs containing </w:t>
      </w:r>
      <w:r>
        <w:rPr>
          <w:rFonts w:ascii="Times New Roman" w:cs="Times New Roman" w:eastAsia="Times New Roman" w:hAnsi="Times New Roman"/>
          <w:sz w:val="29"/>
          <w:szCs w:val="29"/>
          <w:color w:val="auto"/>
          <w:vertAlign w:val="superscript"/>
        </w:rPr>
        <w:t>212</w:t>
      </w:r>
      <w:r>
        <w:rPr>
          <w:rFonts w:ascii="Times New Roman" w:cs="Times New Roman" w:eastAsia="Times New Roman" w:hAnsi="Times New Roman"/>
          <w:sz w:val="18"/>
          <w:szCs w:val="18"/>
          <w:color w:val="auto"/>
        </w:rPr>
        <w:t>Pb; the initiation of new clinical trials, including for BT1702, an MT1-MMP targeting BRC, the progress of Bicycle Therapeutics’ clinical trials, reporting data from Bicycle Therapeutics’ clinical trials, including for BT5528 and BT7480, the timing of EphA2 human imaging data and updates on future clinical development plans for BT5528</w:t>
      </w:r>
    </w:p>
    <w:p>
      <w:pPr>
        <w:jc w:val="both"/>
        <w:spacing w:after="0" w:line="245" w:lineRule="auto"/>
        <w:rPr>
          <w:sz w:val="20"/>
          <w:szCs w:val="20"/>
          <w:color w:val="auto"/>
        </w:rPr>
      </w:pPr>
      <w:r>
        <w:rPr>
          <w:rFonts w:ascii="Times New Roman" w:cs="Times New Roman" w:eastAsia="Times New Roman" w:hAnsi="Times New Roman"/>
          <w:sz w:val="18"/>
          <w:szCs w:val="18"/>
          <w:color w:val="auto"/>
        </w:rPr>
        <w:t>and approval pathway; the development of the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radioligands pipeline, including BRCs and BIAs; the validation of MT1-MMP as a cancer target and BRC molecules having positive properties for radiopharmaceutical imaging; communications with and feedback from the FDA and other regulatory agencies including the potential for multiple regulatory pathways for zelenectide pevedotin in mUC; the existence of a range of options for a Phase 3 trial and potential commercialization of zelenectide pevedotin in mUC; Bicycle Therapeutics’ expected financial runway; and the use of Bicycle Therapeutics’ technology through various partnerships to develop therapies for diseases in additional therapeutic areas.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the proposed workforce reduction may take longer or result in more significant charges or cash expenditures than anticipated or otherwise negatively impact Bicycle Therapeutics’ and its business plans during and after the period during which the proposed workforce reduction is being executed; uncertainties related to the benefits of the strategic reprioritization; uncertainties inherent in research and development and in the initiation, progress and completion of clinical trials and clinical development of Bicycle Therapeutics’ product candidates; the risk that Bicycle Therapeutics may not realize the intended benefits of its technology or partnerships; the risk that Bicycle Therapeutics may not achieve any of its clinical development strategies; timing of results from clinical trials; whether the outcomes of preclinical studies and prior clinical trials will be predictive of future clinical trial results; the risk that trials may have unsatisfactory outcomes; potential adverse effects arising from the testing or use of Bicycle Therapeutics’ product candidates; the risk that Bicycle Therapeutics’ projections regarding its expected cash runway are inaccurate or that its conduct of its business requires more cash than anticipated; and other important factors, any of which could cause Bicycle Therapeutics’ actual results to differ from those contained in the forward-looking statements, are described in greater detail in the section entitled “Risk Factors” in Bicycle Therapeutics’ Quarterly Report on Form 10-Q filed with the Securities and Exchange Commission (SEC) on October 30, 2025,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51,770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49,778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240,283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172,966</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20,893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21,593</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79,368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72,181</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(247,065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10,303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34,284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research and development funding liability</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4,476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69,364,546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69,051,745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69,279,838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58,207,593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628,110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879,520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625,901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861,375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717,597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956,868</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Pr>
          <w:p>
            <w:pPr>
              <w:spacing w:after="0"/>
              <w:rPr>
                <w:sz w:val="20"/>
                <w:szCs w:val="20"/>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609,977</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793,060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media@bicycletx.com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2026-03-17T06:09:06Z</dcterms:created>
  <dcterms:modified xsi:type="dcterms:W3CDTF">2026-03-17T06:09:06Z</dcterms:modified>
</cp:coreProperties>
</file>